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3DE" w:rsidRDefault="00D03DF0" w:rsidP="007F5267">
      <w:pPr>
        <w:pStyle w:val="Heading1"/>
      </w:pPr>
      <w:bookmarkStart w:id="0" w:name="_GoBack"/>
      <w:bookmarkEnd w:id="0"/>
      <w:r>
        <w:t>Comparison</w:t>
      </w:r>
      <w:r w:rsidR="006B1DC0">
        <w:t xml:space="preserve"> of Punctuation</w:t>
      </w:r>
    </w:p>
    <w:tbl>
      <w:tblPr>
        <w:tblStyle w:val="TableGrid"/>
        <w:tblW w:w="0" w:type="auto"/>
        <w:tblInd w:w="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98"/>
        <w:gridCol w:w="3283"/>
        <w:gridCol w:w="3283"/>
      </w:tblGrid>
      <w:tr w:rsidR="00D03DF0" w:rsidTr="00D03DF0">
        <w:tc>
          <w:tcPr>
            <w:tcW w:w="3432" w:type="dxa"/>
          </w:tcPr>
          <w:p w:rsidR="00D03DF0" w:rsidRDefault="005C02FD" w:rsidP="00D03DF0">
            <w:pPr>
              <w:ind w:left="0"/>
            </w:pPr>
            <w:r>
              <w:t>Hyphen</w:t>
            </w:r>
            <w:r w:rsidR="00D03DF0">
              <w:t xml:space="preserve">: </w:t>
            </w:r>
            <w:r w:rsidR="00D03DF0" w:rsidRPr="005A721D">
              <w:rPr>
                <w:b/>
              </w:rPr>
              <w:t>-</w:t>
            </w:r>
          </w:p>
        </w:tc>
        <w:tc>
          <w:tcPr>
            <w:tcW w:w="3432" w:type="dxa"/>
          </w:tcPr>
          <w:p w:rsidR="00D03DF0" w:rsidRDefault="00D03DF0" w:rsidP="00D03DF0">
            <w:pPr>
              <w:ind w:left="0"/>
            </w:pPr>
            <w:r>
              <w:t xml:space="preserve">En Dash: </w:t>
            </w:r>
            <w:r w:rsidR="005A721D" w:rsidRPr="005A721D">
              <w:rPr>
                <w:b/>
              </w:rPr>
              <w:t>–</w:t>
            </w:r>
          </w:p>
        </w:tc>
        <w:tc>
          <w:tcPr>
            <w:tcW w:w="3432" w:type="dxa"/>
          </w:tcPr>
          <w:p w:rsidR="00D03DF0" w:rsidRDefault="00D03DF0" w:rsidP="00D03DF0">
            <w:pPr>
              <w:ind w:left="0"/>
            </w:pPr>
            <w:proofErr w:type="spellStart"/>
            <w:r>
              <w:t>Em</w:t>
            </w:r>
            <w:proofErr w:type="spellEnd"/>
            <w:r>
              <w:t xml:space="preserve"> Dash:</w:t>
            </w:r>
            <w:r w:rsidRPr="005A721D">
              <w:rPr>
                <w:b/>
              </w:rPr>
              <w:t xml:space="preserve"> —</w:t>
            </w:r>
          </w:p>
        </w:tc>
      </w:tr>
    </w:tbl>
    <w:p w:rsidR="007813DE" w:rsidRDefault="007F5267" w:rsidP="007F5267">
      <w:pPr>
        <w:pStyle w:val="Heading1"/>
      </w:pPr>
      <w:r>
        <w:t>Hyphens</w:t>
      </w:r>
    </w:p>
    <w:p w:rsidR="007F5267" w:rsidRDefault="00235E9A" w:rsidP="007F5267">
      <w:r>
        <w:t xml:space="preserve">Use for </w:t>
      </w:r>
      <w:r w:rsidR="0004191A">
        <w:t>Social S</w:t>
      </w:r>
      <w:r w:rsidR="0028005B">
        <w:t xml:space="preserve">ecurity </w:t>
      </w:r>
      <w:r w:rsidR="0028005B" w:rsidRPr="000D62BE">
        <w:rPr>
          <w:b/>
        </w:rPr>
        <w:t>numbers</w:t>
      </w:r>
      <w:r w:rsidR="0028005B">
        <w:t xml:space="preserve">, telephone numbers, </w:t>
      </w:r>
      <w:r w:rsidR="001E337E">
        <w:t>numbers from 21–99, and fraction</w:t>
      </w:r>
      <w:r w:rsidR="00702A60">
        <w:t>s</w:t>
      </w:r>
      <w:r w:rsidR="001E337E">
        <w:t>:</w:t>
      </w:r>
    </w:p>
    <w:p w:rsidR="001E337E" w:rsidRDefault="00702A60" w:rsidP="001E337E">
      <w:pPr>
        <w:pStyle w:val="ListParagraph"/>
        <w:numPr>
          <w:ilvl w:val="0"/>
          <w:numId w:val="13"/>
        </w:numPr>
      </w:pPr>
      <w:r>
        <w:t xml:space="preserve">I called </w:t>
      </w:r>
      <w:r w:rsidR="001E337E">
        <w:t>454-555-1234</w:t>
      </w:r>
      <w:r>
        <w:t xml:space="preserve"> and talked to a madness-inducing salesman. </w:t>
      </w:r>
    </w:p>
    <w:p w:rsidR="001E337E" w:rsidRDefault="001E337E" w:rsidP="001E337E">
      <w:pPr>
        <w:pStyle w:val="ListParagraph"/>
        <w:numPr>
          <w:ilvl w:val="0"/>
          <w:numId w:val="13"/>
        </w:numPr>
      </w:pPr>
      <w:r>
        <w:t>I counted thirty-three separate instances of the phrase "well-intentioned despot."</w:t>
      </w:r>
    </w:p>
    <w:p w:rsidR="001E337E" w:rsidRDefault="001E337E" w:rsidP="001E337E">
      <w:pPr>
        <w:pStyle w:val="ListParagraph"/>
        <w:numPr>
          <w:ilvl w:val="0"/>
          <w:numId w:val="13"/>
        </w:numPr>
      </w:pPr>
      <w:r>
        <w:t xml:space="preserve">Two-thirds of cheese lovers surveyed preferred </w:t>
      </w:r>
      <w:proofErr w:type="gramStart"/>
      <w:r>
        <w:t>gouda</w:t>
      </w:r>
      <w:proofErr w:type="gramEnd"/>
      <w:r>
        <w:t xml:space="preserve"> over edam</w:t>
      </w:r>
      <w:r w:rsidR="000A6400">
        <w:t>;</w:t>
      </w:r>
      <w:r>
        <w:t xml:space="preserve"> I find </w:t>
      </w:r>
      <w:r w:rsidR="000A6400">
        <w:t xml:space="preserve">this </w:t>
      </w:r>
      <w:r w:rsidR="00702A60">
        <w:t xml:space="preserve">to be </w:t>
      </w:r>
      <w:r>
        <w:t xml:space="preserve">malarkey. </w:t>
      </w:r>
    </w:p>
    <w:p w:rsidR="008604EE" w:rsidRDefault="008604EE" w:rsidP="007F5267">
      <w:r>
        <w:t xml:space="preserve">Use to connect the parts of some </w:t>
      </w:r>
      <w:r w:rsidRPr="000D62BE">
        <w:rPr>
          <w:b/>
        </w:rPr>
        <w:t>compound words used as nouns or</w:t>
      </w:r>
      <w:r>
        <w:t xml:space="preserve"> </w:t>
      </w:r>
      <w:r w:rsidRPr="000D62BE">
        <w:rPr>
          <w:b/>
        </w:rPr>
        <w:t>adjectives</w:t>
      </w:r>
      <w:r>
        <w:t xml:space="preserve">, as well as to </w:t>
      </w:r>
      <w:r w:rsidRPr="000D62BE">
        <w:rPr>
          <w:b/>
        </w:rPr>
        <w:t>distinguish certain confusing words with a prefix</w:t>
      </w:r>
      <w:r>
        <w:t>. Don't use, however, with phrasal adjectives that begin with an adverb—a word that generally ends in –</w:t>
      </w:r>
      <w:proofErr w:type="spellStart"/>
      <w:r>
        <w:t>ly</w:t>
      </w:r>
      <w:proofErr w:type="spellEnd"/>
      <w:r>
        <w:t xml:space="preserve">. </w:t>
      </w:r>
    </w:p>
    <w:p w:rsidR="008604EE" w:rsidRDefault="00702A60" w:rsidP="00786DCB">
      <w:pPr>
        <w:ind w:left="810" w:right="540"/>
      </w:pPr>
      <w:r>
        <w:t>The clown's</w:t>
      </w:r>
      <w:r w:rsidR="008604EE">
        <w:t xml:space="preserve"> </w:t>
      </w:r>
      <w:r w:rsidR="008604EE" w:rsidRPr="00786DCB">
        <w:rPr>
          <w:u w:val="single"/>
        </w:rPr>
        <w:t>devil-may-care</w:t>
      </w:r>
      <w:r w:rsidR="008604EE">
        <w:t xml:space="preserve"> attitude, combined with a palette full of face paint to </w:t>
      </w:r>
      <w:r w:rsidR="008604EE" w:rsidRPr="00786DCB">
        <w:rPr>
          <w:u w:val="single"/>
        </w:rPr>
        <w:t>re-create</w:t>
      </w:r>
      <w:r w:rsidR="008604EE">
        <w:t xml:space="preserve"> the rashes caused by </w:t>
      </w:r>
      <w:r w:rsidR="008604EE" w:rsidRPr="00786DCB">
        <w:rPr>
          <w:u w:val="single"/>
        </w:rPr>
        <w:t>nineteenth-century</w:t>
      </w:r>
      <w:r w:rsidR="008604EE">
        <w:t xml:space="preserve"> disease on the faces of partygoers, produced a </w:t>
      </w:r>
      <w:r w:rsidR="008604EE" w:rsidRPr="00786DCB">
        <w:rPr>
          <w:u w:val="single"/>
        </w:rPr>
        <w:t>sharply worded</w:t>
      </w:r>
      <w:r w:rsidR="008604EE">
        <w:t xml:space="preserve"> reprimand </w:t>
      </w:r>
      <w:r>
        <w:t>from</w:t>
      </w:r>
      <w:r w:rsidR="008604EE">
        <w:t xml:space="preserve"> the mother in charge of the party. "The children are here to </w:t>
      </w:r>
      <w:r w:rsidR="008604EE" w:rsidRPr="00786DCB">
        <w:rPr>
          <w:u w:val="single"/>
        </w:rPr>
        <w:t>recreate</w:t>
      </w:r>
      <w:r w:rsidR="008604EE">
        <w:t xml:space="preserve">, not learn </w:t>
      </w:r>
      <w:r>
        <w:t xml:space="preserve">about </w:t>
      </w:r>
      <w:r w:rsidR="008604EE">
        <w:t xml:space="preserve">the intricacies of </w:t>
      </w:r>
      <w:r>
        <w:t xml:space="preserve">dysentery," the mother fumed, not impressed by his intricate knowledge of diseases of </w:t>
      </w:r>
      <w:r w:rsidRPr="00702A60">
        <w:t xml:space="preserve">the </w:t>
      </w:r>
      <w:r w:rsidRPr="00702A60">
        <w:rPr>
          <w:u w:val="single"/>
        </w:rPr>
        <w:t>nineteenth century</w:t>
      </w:r>
      <w:r>
        <w:t xml:space="preserve">. </w:t>
      </w:r>
    </w:p>
    <w:p w:rsidR="007813DE" w:rsidRPr="00491F2D" w:rsidRDefault="007F5267" w:rsidP="007F5267">
      <w:pPr>
        <w:pStyle w:val="Heading1"/>
      </w:pPr>
      <w:r>
        <w:t xml:space="preserve">En </w:t>
      </w:r>
      <w:r w:rsidRPr="007F5267">
        <w:t>Dashes</w:t>
      </w:r>
    </w:p>
    <w:p w:rsidR="00A07C19" w:rsidRDefault="006B1DC0" w:rsidP="007F5267">
      <w:pPr>
        <w:rPr>
          <w:rFonts w:ascii="Arial" w:hAnsi="Arial" w:cs="Arial"/>
        </w:rPr>
      </w:pPr>
      <w:r>
        <w:rPr>
          <w:rFonts w:ascii="Arial" w:hAnsi="Arial" w:cs="Arial"/>
        </w:rPr>
        <w:t>The</w:t>
      </w:r>
      <w:r w:rsidR="00235E9A">
        <w:rPr>
          <w:rFonts w:ascii="Arial" w:hAnsi="Arial" w:cs="Arial"/>
        </w:rPr>
        <w:t xml:space="preserve"> primary purpose </w:t>
      </w:r>
      <w:r>
        <w:rPr>
          <w:rFonts w:ascii="Arial" w:hAnsi="Arial" w:cs="Arial"/>
        </w:rPr>
        <w:t xml:space="preserve">of the en dash </w:t>
      </w:r>
      <w:r w:rsidR="00235E9A">
        <w:rPr>
          <w:rFonts w:ascii="Arial" w:hAnsi="Arial" w:cs="Arial"/>
        </w:rPr>
        <w:t xml:space="preserve">is to </w:t>
      </w:r>
      <w:r w:rsidR="00235E9A" w:rsidRPr="000D62BE">
        <w:rPr>
          <w:rFonts w:ascii="Arial" w:hAnsi="Arial" w:cs="Arial"/>
          <w:b/>
        </w:rPr>
        <w:t>connect numbers and sometimes words</w:t>
      </w:r>
      <w:r w:rsidR="00235E9A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Microsoft </w:t>
      </w:r>
      <w:r w:rsidR="00235E9A">
        <w:rPr>
          <w:rFonts w:ascii="Arial" w:hAnsi="Arial" w:cs="Arial"/>
        </w:rPr>
        <w:t xml:space="preserve">Word will insert an en dash automatically if you separate words with a hyphen surrounded by two spaces. Often this is correct but sometimes it isn't, so watch out. </w:t>
      </w:r>
    </w:p>
    <w:p w:rsidR="00235E9A" w:rsidRDefault="00235E9A" w:rsidP="00235E9A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See pages 19–26 for more information</w:t>
      </w:r>
      <w:r w:rsidR="001E337E">
        <w:rPr>
          <w:rFonts w:ascii="Arial" w:hAnsi="Arial" w:cs="Arial"/>
        </w:rPr>
        <w:t xml:space="preserve"> on the manufacturing </w:t>
      </w:r>
      <w:r w:rsidR="001B211E">
        <w:rPr>
          <w:rFonts w:ascii="Arial" w:hAnsi="Arial" w:cs="Arial"/>
        </w:rPr>
        <w:t xml:space="preserve">process for </w:t>
      </w:r>
      <w:r w:rsidR="001E337E">
        <w:rPr>
          <w:rFonts w:ascii="Arial" w:hAnsi="Arial" w:cs="Arial"/>
        </w:rPr>
        <w:t>wacky waving inflatable arm-flailing tube men.</w:t>
      </w:r>
    </w:p>
    <w:p w:rsidR="00235E9A" w:rsidRPr="00235E9A" w:rsidRDefault="00235E9A" w:rsidP="00235E9A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Morgan Freeman (19</w:t>
      </w:r>
      <w:r w:rsidR="001E337E">
        <w:rPr>
          <w:rFonts w:ascii="Arial" w:hAnsi="Arial" w:cs="Arial"/>
        </w:rPr>
        <w:t>37–) is</w:t>
      </w:r>
      <w:r w:rsidR="000F058E">
        <w:rPr>
          <w:rFonts w:ascii="Arial" w:hAnsi="Arial" w:cs="Arial"/>
        </w:rPr>
        <w:t xml:space="preserve"> a smooth-voiced American actor</w:t>
      </w:r>
      <w:r w:rsidR="001E337E">
        <w:rPr>
          <w:rFonts w:ascii="Arial" w:hAnsi="Arial" w:cs="Arial"/>
        </w:rPr>
        <w:t xml:space="preserve">. </w:t>
      </w:r>
    </w:p>
    <w:p w:rsidR="007F5267" w:rsidRDefault="007F5267" w:rsidP="007F5267">
      <w:pPr>
        <w:pStyle w:val="Heading1"/>
      </w:pPr>
      <w:proofErr w:type="spellStart"/>
      <w:r>
        <w:t>Em</w:t>
      </w:r>
      <w:proofErr w:type="spellEnd"/>
      <w:r>
        <w:t xml:space="preserve"> Dashes</w:t>
      </w:r>
    </w:p>
    <w:p w:rsidR="00207A9B" w:rsidRDefault="00207A9B" w:rsidP="00960BAC">
      <w:r>
        <w:t>T</w:t>
      </w:r>
      <w:r w:rsidR="000D62BE">
        <w:t xml:space="preserve">he </w:t>
      </w:r>
      <w:proofErr w:type="spellStart"/>
      <w:r w:rsidR="000D62BE">
        <w:t>em</w:t>
      </w:r>
      <w:proofErr w:type="spellEnd"/>
      <w:r w:rsidR="000D62BE">
        <w:t xml:space="preserve"> dash is primarily used</w:t>
      </w:r>
      <w:r>
        <w:t xml:space="preserve"> to </w:t>
      </w:r>
      <w:r w:rsidRPr="000D62BE">
        <w:rPr>
          <w:b/>
        </w:rPr>
        <w:t>offset an explanatory phrase</w:t>
      </w:r>
      <w:r>
        <w:t xml:space="preserve"> within text: </w:t>
      </w:r>
    </w:p>
    <w:p w:rsidR="00960BAC" w:rsidRDefault="00960BAC" w:rsidP="00207A9B">
      <w:pPr>
        <w:ind w:left="810" w:right="540"/>
      </w:pPr>
      <w:r>
        <w:t xml:space="preserve">I used to wear </w:t>
      </w:r>
      <w:proofErr w:type="spellStart"/>
      <w:r>
        <w:t>Hypercolor</w:t>
      </w:r>
      <w:proofErr w:type="spellEnd"/>
      <w:r>
        <w:t xml:space="preserve"> t-shirts—this was the style at the time—with scrunched socks and pleated</w:t>
      </w:r>
      <w:r w:rsidR="000D62BE">
        <w:t xml:space="preserve"> acid-washed</w:t>
      </w:r>
      <w:r>
        <w:t xml:space="preserve"> jeans. Ah, the </w:t>
      </w:r>
      <w:r w:rsidR="000D62BE">
        <w:t xml:space="preserve">early </w:t>
      </w:r>
      <w:r>
        <w:t>'</w:t>
      </w:r>
      <w:r w:rsidR="00207A9B">
        <w:t>90s.</w:t>
      </w:r>
    </w:p>
    <w:p w:rsidR="00207A9B" w:rsidRDefault="002149AB" w:rsidP="00960BAC">
      <w:r>
        <w:t xml:space="preserve">Dashes can be used </w:t>
      </w:r>
      <w:r w:rsidR="005347CA">
        <w:t xml:space="preserve">to </w:t>
      </w:r>
      <w:r w:rsidR="005347CA" w:rsidRPr="000D62BE">
        <w:rPr>
          <w:b/>
        </w:rPr>
        <w:t>offset an appositive</w:t>
      </w:r>
      <w:r>
        <w:t xml:space="preserve">: </w:t>
      </w:r>
    </w:p>
    <w:p w:rsidR="00960BAC" w:rsidRDefault="005347CA" w:rsidP="00207A9B">
      <w:pPr>
        <w:ind w:left="810" w:right="540"/>
      </w:pPr>
      <w:r>
        <w:t>More than just a fruitcake</w:t>
      </w:r>
      <w:r w:rsidR="002149AB">
        <w:t>—</w:t>
      </w:r>
      <w:r>
        <w:t>it's also a torture and flotation device</w:t>
      </w:r>
      <w:r w:rsidR="00207A9B">
        <w:t>.</w:t>
      </w:r>
    </w:p>
    <w:p w:rsidR="000157BC" w:rsidRDefault="000157BC" w:rsidP="000157BC">
      <w:r>
        <w:t xml:space="preserve">The </w:t>
      </w:r>
      <w:proofErr w:type="spellStart"/>
      <w:r>
        <w:t>em</w:t>
      </w:r>
      <w:proofErr w:type="spellEnd"/>
      <w:r>
        <w:t xml:space="preserve"> dash can be used to </w:t>
      </w:r>
      <w:r w:rsidRPr="000D62BE">
        <w:rPr>
          <w:b/>
        </w:rPr>
        <w:t>attribute a quotation</w:t>
      </w:r>
      <w:r>
        <w:t xml:space="preserve">. </w:t>
      </w:r>
    </w:p>
    <w:p w:rsidR="00207A9B" w:rsidRPr="00960BAC" w:rsidRDefault="000157BC" w:rsidP="000D62BE">
      <w:pPr>
        <w:ind w:left="810" w:right="540"/>
      </w:pPr>
      <w:r>
        <w:t xml:space="preserve">The problem with most quotes on the Internet is that they're often untrue. </w:t>
      </w:r>
      <w:r w:rsidR="005347CA">
        <w:t>—</w:t>
      </w:r>
      <w:r>
        <w:t>Benjamin Franklin</w:t>
      </w:r>
    </w:p>
    <w:sectPr w:rsidR="00207A9B" w:rsidRPr="00960BAC" w:rsidSect="00DE4396">
      <w:headerReference w:type="default" r:id="rId7"/>
      <w:footerReference w:type="default" r:id="rId8"/>
      <w:pgSz w:w="12240" w:h="15840" w:code="1"/>
      <w:pgMar w:top="1080" w:right="1080" w:bottom="1080" w:left="108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67F0" w:rsidRDefault="005467F0" w:rsidP="004C2787">
      <w:pPr>
        <w:spacing w:after="0" w:line="240" w:lineRule="auto"/>
      </w:pPr>
      <w:r>
        <w:separator/>
      </w:r>
    </w:p>
  </w:endnote>
  <w:endnote w:type="continuationSeparator" w:id="0">
    <w:p w:rsidR="005467F0" w:rsidRDefault="005467F0" w:rsidP="004C2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20292355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:rsidR="00AF19AF" w:rsidRPr="00AF19AF" w:rsidRDefault="00AF19AF" w:rsidP="003E1BA6">
            <w:pPr>
              <w:pStyle w:val="Footer"/>
              <w:ind w:left="0"/>
              <w:jc w:val="center"/>
              <w:rPr>
                <w:sz w:val="18"/>
                <w:szCs w:val="18"/>
              </w:rPr>
            </w:pPr>
            <w:r w:rsidRPr="00AF19AF">
              <w:rPr>
                <w:b/>
                <w:sz w:val="18"/>
                <w:szCs w:val="18"/>
              </w:rPr>
              <w:t>Sources:</w:t>
            </w:r>
            <w:r w:rsidRPr="00AF19AF">
              <w:rPr>
                <w:sz w:val="18"/>
                <w:szCs w:val="18"/>
              </w:rPr>
              <w:t xml:space="preserve"> </w:t>
            </w:r>
            <w:r w:rsidRPr="00AF19AF">
              <w:rPr>
                <w:i/>
                <w:sz w:val="18"/>
                <w:szCs w:val="18"/>
              </w:rPr>
              <w:t>The Well-Tempered Sentence</w:t>
            </w:r>
            <w:r w:rsidRPr="00AF19AF">
              <w:rPr>
                <w:sz w:val="18"/>
                <w:szCs w:val="18"/>
              </w:rPr>
              <w:t xml:space="preserve"> by Karen Elizabeth Gordon and </w:t>
            </w:r>
            <w:r w:rsidRPr="00AF19AF">
              <w:rPr>
                <w:i/>
                <w:sz w:val="18"/>
                <w:szCs w:val="18"/>
              </w:rPr>
              <w:t>The Chicago Manual of Style</w:t>
            </w:r>
            <w:r w:rsidRPr="00AF19AF">
              <w:rPr>
                <w:sz w:val="18"/>
                <w:szCs w:val="18"/>
              </w:rPr>
              <w:t>, 15</w:t>
            </w:r>
            <w:r w:rsidRPr="00AF19AF">
              <w:rPr>
                <w:sz w:val="18"/>
                <w:szCs w:val="18"/>
                <w:vertAlign w:val="superscript"/>
              </w:rPr>
              <w:t>th</w:t>
            </w:r>
            <w:r w:rsidRPr="00AF19AF">
              <w:rPr>
                <w:sz w:val="18"/>
                <w:szCs w:val="18"/>
              </w:rPr>
              <w:t xml:space="preserve"> Edition</w:t>
            </w:r>
          </w:p>
          <w:p w:rsidR="004C2787" w:rsidRPr="00AF19AF" w:rsidRDefault="004C2787" w:rsidP="00AF19AF">
            <w:pPr>
              <w:pStyle w:val="Footer"/>
              <w:jc w:val="right"/>
              <w:rPr>
                <w:b/>
                <w:bCs/>
                <w:sz w:val="24"/>
                <w:szCs w:val="24"/>
              </w:rPr>
            </w:pPr>
            <w:r>
              <w:t xml:space="preserve">Page </w:t>
            </w:r>
            <w:r w:rsidR="00D87C3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D87C38">
              <w:rPr>
                <w:b/>
                <w:bCs/>
                <w:sz w:val="24"/>
                <w:szCs w:val="24"/>
              </w:rPr>
              <w:fldChar w:fldCharType="separate"/>
            </w:r>
            <w:r w:rsidR="000A6400">
              <w:rPr>
                <w:b/>
                <w:bCs/>
                <w:noProof/>
              </w:rPr>
              <w:t>1</w:t>
            </w:r>
            <w:r w:rsidR="00D87C38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D87C3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D87C38">
              <w:rPr>
                <w:b/>
                <w:bCs/>
                <w:sz w:val="24"/>
                <w:szCs w:val="24"/>
              </w:rPr>
              <w:fldChar w:fldCharType="separate"/>
            </w:r>
            <w:r w:rsidR="000A6400">
              <w:rPr>
                <w:b/>
                <w:bCs/>
                <w:noProof/>
              </w:rPr>
              <w:t>1</w:t>
            </w:r>
            <w:r w:rsidR="00D87C38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67F0" w:rsidRDefault="005467F0" w:rsidP="004C2787">
      <w:pPr>
        <w:spacing w:after="0" w:line="240" w:lineRule="auto"/>
      </w:pPr>
      <w:r>
        <w:separator/>
      </w:r>
    </w:p>
  </w:footnote>
  <w:footnote w:type="continuationSeparator" w:id="0">
    <w:p w:rsidR="005467F0" w:rsidRDefault="005467F0" w:rsidP="004C2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787" w:rsidRDefault="00D03DF0" w:rsidP="00652BE5">
    <w:pPr>
      <w:pStyle w:val="Title"/>
      <w:spacing w:after="240"/>
    </w:pPr>
    <w:r w:rsidRPr="00D03DF0">
      <w:t>Hyphens and Dashes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F419B"/>
    <w:multiLevelType w:val="hybridMultilevel"/>
    <w:tmpl w:val="16B440BA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">
    <w:nsid w:val="07D81146"/>
    <w:multiLevelType w:val="hybridMultilevel"/>
    <w:tmpl w:val="AE00A1CA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>
    <w:nsid w:val="0CC170E7"/>
    <w:multiLevelType w:val="hybridMultilevel"/>
    <w:tmpl w:val="509E2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E3FA4"/>
    <w:multiLevelType w:val="hybridMultilevel"/>
    <w:tmpl w:val="85BC2780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4">
    <w:nsid w:val="216557A9"/>
    <w:multiLevelType w:val="hybridMultilevel"/>
    <w:tmpl w:val="8350F3A0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">
    <w:nsid w:val="374B6BC7"/>
    <w:multiLevelType w:val="hybridMultilevel"/>
    <w:tmpl w:val="DC8C9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65426C"/>
    <w:multiLevelType w:val="hybridMultilevel"/>
    <w:tmpl w:val="B1D6E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5779E7"/>
    <w:multiLevelType w:val="hybridMultilevel"/>
    <w:tmpl w:val="BA0E1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9E7488"/>
    <w:multiLevelType w:val="hybridMultilevel"/>
    <w:tmpl w:val="CEB6B6DE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9">
    <w:nsid w:val="434D12B4"/>
    <w:multiLevelType w:val="hybridMultilevel"/>
    <w:tmpl w:val="6BE6F07C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0">
    <w:nsid w:val="451276F0"/>
    <w:multiLevelType w:val="hybridMultilevel"/>
    <w:tmpl w:val="283C0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5A1D14"/>
    <w:multiLevelType w:val="hybridMultilevel"/>
    <w:tmpl w:val="80142410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2">
    <w:nsid w:val="4CEB11AB"/>
    <w:multiLevelType w:val="hybridMultilevel"/>
    <w:tmpl w:val="0E2E5C3C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3">
    <w:nsid w:val="643C2833"/>
    <w:multiLevelType w:val="hybridMultilevel"/>
    <w:tmpl w:val="EB04A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7"/>
  </w:num>
  <w:num w:numId="4">
    <w:abstractNumId w:val="6"/>
  </w:num>
  <w:num w:numId="5">
    <w:abstractNumId w:val="5"/>
  </w:num>
  <w:num w:numId="6">
    <w:abstractNumId w:val="2"/>
  </w:num>
  <w:num w:numId="7">
    <w:abstractNumId w:val="8"/>
  </w:num>
  <w:num w:numId="8">
    <w:abstractNumId w:val="4"/>
  </w:num>
  <w:num w:numId="9">
    <w:abstractNumId w:val="1"/>
  </w:num>
  <w:num w:numId="10">
    <w:abstractNumId w:val="12"/>
  </w:num>
  <w:num w:numId="11">
    <w:abstractNumId w:val="9"/>
  </w:num>
  <w:num w:numId="12">
    <w:abstractNumId w:val="0"/>
  </w:num>
  <w:num w:numId="13">
    <w:abstractNumId w:val="3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/>
  <w:rsids>
    <w:rsidRoot w:val="00747AE5"/>
    <w:rsid w:val="000157BC"/>
    <w:rsid w:val="0004191A"/>
    <w:rsid w:val="0008555B"/>
    <w:rsid w:val="000A6400"/>
    <w:rsid w:val="000D62BE"/>
    <w:rsid w:val="000E1F3F"/>
    <w:rsid w:val="000F058E"/>
    <w:rsid w:val="000F7A21"/>
    <w:rsid w:val="001200D9"/>
    <w:rsid w:val="001373C2"/>
    <w:rsid w:val="00157758"/>
    <w:rsid w:val="001923A0"/>
    <w:rsid w:val="001A2CE0"/>
    <w:rsid w:val="001B211E"/>
    <w:rsid w:val="001E337E"/>
    <w:rsid w:val="001E4D80"/>
    <w:rsid w:val="00200552"/>
    <w:rsid w:val="00207A9B"/>
    <w:rsid w:val="002149AB"/>
    <w:rsid w:val="00235E9A"/>
    <w:rsid w:val="0028005B"/>
    <w:rsid w:val="00282E6B"/>
    <w:rsid w:val="00287D30"/>
    <w:rsid w:val="002C5F07"/>
    <w:rsid w:val="002F00E3"/>
    <w:rsid w:val="00310E61"/>
    <w:rsid w:val="00316F76"/>
    <w:rsid w:val="003377E9"/>
    <w:rsid w:val="003E1BA6"/>
    <w:rsid w:val="003E679A"/>
    <w:rsid w:val="00491F2D"/>
    <w:rsid w:val="004C2787"/>
    <w:rsid w:val="004F201A"/>
    <w:rsid w:val="0050525F"/>
    <w:rsid w:val="005068E8"/>
    <w:rsid w:val="005347CA"/>
    <w:rsid w:val="00536DFA"/>
    <w:rsid w:val="005425FA"/>
    <w:rsid w:val="005467F0"/>
    <w:rsid w:val="00547E8F"/>
    <w:rsid w:val="00565C24"/>
    <w:rsid w:val="005A721D"/>
    <w:rsid w:val="005C02FD"/>
    <w:rsid w:val="005C5CB5"/>
    <w:rsid w:val="005E26B0"/>
    <w:rsid w:val="005F1E6E"/>
    <w:rsid w:val="005F5E82"/>
    <w:rsid w:val="005F6AFC"/>
    <w:rsid w:val="00601834"/>
    <w:rsid w:val="006060E8"/>
    <w:rsid w:val="006265FA"/>
    <w:rsid w:val="00652BE5"/>
    <w:rsid w:val="006753C3"/>
    <w:rsid w:val="00692750"/>
    <w:rsid w:val="006B1DC0"/>
    <w:rsid w:val="006F640B"/>
    <w:rsid w:val="00702A60"/>
    <w:rsid w:val="0072190A"/>
    <w:rsid w:val="00747AE5"/>
    <w:rsid w:val="00751B79"/>
    <w:rsid w:val="007813DE"/>
    <w:rsid w:val="00786DCB"/>
    <w:rsid w:val="00794E35"/>
    <w:rsid w:val="007B34D9"/>
    <w:rsid w:val="007F5267"/>
    <w:rsid w:val="00800E5F"/>
    <w:rsid w:val="00807445"/>
    <w:rsid w:val="008131F0"/>
    <w:rsid w:val="00821F6E"/>
    <w:rsid w:val="008343FB"/>
    <w:rsid w:val="008604EE"/>
    <w:rsid w:val="008969D6"/>
    <w:rsid w:val="00897876"/>
    <w:rsid w:val="008D00F0"/>
    <w:rsid w:val="008D4225"/>
    <w:rsid w:val="008E591B"/>
    <w:rsid w:val="009154B9"/>
    <w:rsid w:val="00930A3B"/>
    <w:rsid w:val="00931E68"/>
    <w:rsid w:val="00960BAC"/>
    <w:rsid w:val="00963BD5"/>
    <w:rsid w:val="009943A2"/>
    <w:rsid w:val="009B0B3A"/>
    <w:rsid w:val="009F436F"/>
    <w:rsid w:val="00A07C19"/>
    <w:rsid w:val="00A348BD"/>
    <w:rsid w:val="00A94498"/>
    <w:rsid w:val="00AC31E3"/>
    <w:rsid w:val="00AF19AF"/>
    <w:rsid w:val="00B026CC"/>
    <w:rsid w:val="00B02EA4"/>
    <w:rsid w:val="00B14B19"/>
    <w:rsid w:val="00B23D5B"/>
    <w:rsid w:val="00B87B9E"/>
    <w:rsid w:val="00BD0340"/>
    <w:rsid w:val="00BF1471"/>
    <w:rsid w:val="00BF5503"/>
    <w:rsid w:val="00C7227B"/>
    <w:rsid w:val="00C75E8D"/>
    <w:rsid w:val="00C83C4F"/>
    <w:rsid w:val="00CB0DFE"/>
    <w:rsid w:val="00CC53F8"/>
    <w:rsid w:val="00CE647E"/>
    <w:rsid w:val="00CF7737"/>
    <w:rsid w:val="00D03DF0"/>
    <w:rsid w:val="00D0640F"/>
    <w:rsid w:val="00D53589"/>
    <w:rsid w:val="00D610E9"/>
    <w:rsid w:val="00D67077"/>
    <w:rsid w:val="00D86BF2"/>
    <w:rsid w:val="00D87C38"/>
    <w:rsid w:val="00DE4396"/>
    <w:rsid w:val="00DF1088"/>
    <w:rsid w:val="00E132FB"/>
    <w:rsid w:val="00E139E0"/>
    <w:rsid w:val="00F31E0D"/>
    <w:rsid w:val="00F44A4C"/>
    <w:rsid w:val="00F743B7"/>
    <w:rsid w:val="00F76A02"/>
    <w:rsid w:val="00FC1D13"/>
    <w:rsid w:val="00FD03A4"/>
    <w:rsid w:val="00FF7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3FB"/>
    <w:pPr>
      <w:ind w:left="432"/>
    </w:pPr>
    <w:rPr>
      <w:rFonts w:ascii="Helvetica" w:hAnsi="Helveti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5267"/>
    <w:pPr>
      <w:keepNext/>
      <w:keepLines/>
      <w:spacing w:before="240" w:after="120"/>
      <w:ind w:left="0"/>
      <w:outlineLvl w:val="0"/>
    </w:pPr>
    <w:rPr>
      <w:rFonts w:ascii="Arial" w:eastAsiaTheme="majorEastAsia" w:hAnsi="Arial" w:cs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7077"/>
    <w:pPr>
      <w:keepNext/>
      <w:keepLines/>
      <w:spacing w:before="200" w:after="0"/>
      <w:ind w:left="0"/>
      <w:outlineLvl w:val="1"/>
    </w:pPr>
    <w:rPr>
      <w:rFonts w:ascii="Georgia" w:eastAsiaTheme="majorEastAsia" w:hAnsi="Georgia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943A2"/>
    <w:pPr>
      <w:pBdr>
        <w:bottom w:val="single" w:sz="8" w:space="4" w:color="000000" w:themeColor="text1"/>
      </w:pBdr>
      <w:spacing w:after="300" w:line="240" w:lineRule="auto"/>
      <w:ind w:left="0"/>
      <w:contextualSpacing/>
    </w:pPr>
    <w:rPr>
      <w:rFonts w:ascii="Georgia" w:eastAsiaTheme="majorEastAsia" w:hAnsi="Georgia" w:cstheme="majorBidi"/>
      <w:color w:val="000000" w:themeColor="text1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943A2"/>
    <w:rPr>
      <w:rFonts w:ascii="Georgia" w:eastAsiaTheme="majorEastAsia" w:hAnsi="Georgia" w:cstheme="majorBidi"/>
      <w:color w:val="000000" w:themeColor="text1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7F5267"/>
    <w:rPr>
      <w:rFonts w:ascii="Arial" w:eastAsiaTheme="majorEastAsia" w:hAnsi="Arial" w:cs="Arial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69275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67077"/>
    <w:rPr>
      <w:rFonts w:ascii="Georgia" w:eastAsiaTheme="majorEastAsia" w:hAnsi="Georgia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B23D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75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E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C27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2787"/>
    <w:rPr>
      <w:rFonts w:ascii="Helvetica" w:hAnsi="Helvetica"/>
    </w:rPr>
  </w:style>
  <w:style w:type="paragraph" w:styleId="Footer">
    <w:name w:val="footer"/>
    <w:basedOn w:val="Normal"/>
    <w:link w:val="FooterChar"/>
    <w:uiPriority w:val="99"/>
    <w:unhideWhenUsed/>
    <w:rsid w:val="004C27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787"/>
    <w:rPr>
      <w:rFonts w:ascii="Helvetica" w:hAnsi="Helvetica"/>
    </w:rPr>
  </w:style>
  <w:style w:type="paragraph" w:styleId="NoSpacing">
    <w:name w:val="No Spacing"/>
    <w:uiPriority w:val="1"/>
    <w:qFormat/>
    <w:rsid w:val="00D67077"/>
    <w:pPr>
      <w:spacing w:after="0" w:line="240" w:lineRule="auto"/>
    </w:pPr>
    <w:rPr>
      <w:rFonts w:ascii="Helvetica" w:hAnsi="Helvetica"/>
    </w:rPr>
  </w:style>
  <w:style w:type="character" w:styleId="Hyperlink">
    <w:name w:val="Hyperlink"/>
    <w:basedOn w:val="DefaultParagraphFont"/>
    <w:uiPriority w:val="99"/>
    <w:unhideWhenUsed/>
    <w:rsid w:val="00D5358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3FB"/>
    <w:pPr>
      <w:ind w:left="432"/>
    </w:pPr>
    <w:rPr>
      <w:rFonts w:ascii="Helvetica" w:hAnsi="Helveti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5267"/>
    <w:pPr>
      <w:keepNext/>
      <w:keepLines/>
      <w:spacing w:before="240" w:after="120"/>
      <w:ind w:left="0"/>
      <w:outlineLvl w:val="0"/>
    </w:pPr>
    <w:rPr>
      <w:rFonts w:ascii="Arial" w:eastAsiaTheme="majorEastAsia" w:hAnsi="Arial" w:cs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7077"/>
    <w:pPr>
      <w:keepNext/>
      <w:keepLines/>
      <w:spacing w:before="200" w:after="0"/>
      <w:ind w:left="0"/>
      <w:outlineLvl w:val="1"/>
    </w:pPr>
    <w:rPr>
      <w:rFonts w:ascii="Georgia" w:eastAsiaTheme="majorEastAsia" w:hAnsi="Georgia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943A2"/>
    <w:pPr>
      <w:pBdr>
        <w:bottom w:val="single" w:sz="8" w:space="4" w:color="000000" w:themeColor="text1"/>
      </w:pBdr>
      <w:spacing w:after="300" w:line="240" w:lineRule="auto"/>
      <w:ind w:left="0"/>
      <w:contextualSpacing/>
    </w:pPr>
    <w:rPr>
      <w:rFonts w:ascii="Georgia" w:eastAsiaTheme="majorEastAsia" w:hAnsi="Georgia" w:cstheme="majorBidi"/>
      <w:color w:val="000000" w:themeColor="text1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943A2"/>
    <w:rPr>
      <w:rFonts w:ascii="Georgia" w:eastAsiaTheme="majorEastAsia" w:hAnsi="Georgia" w:cstheme="majorBidi"/>
      <w:color w:val="000000" w:themeColor="text1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7F5267"/>
    <w:rPr>
      <w:rFonts w:ascii="Arial" w:eastAsiaTheme="majorEastAsia" w:hAnsi="Arial" w:cs="Arial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69275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67077"/>
    <w:rPr>
      <w:rFonts w:ascii="Georgia" w:eastAsiaTheme="majorEastAsia" w:hAnsi="Georgia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B23D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75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E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C27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2787"/>
    <w:rPr>
      <w:rFonts w:ascii="Helvetica" w:hAnsi="Helvetica"/>
    </w:rPr>
  </w:style>
  <w:style w:type="paragraph" w:styleId="Footer">
    <w:name w:val="footer"/>
    <w:basedOn w:val="Normal"/>
    <w:link w:val="FooterChar"/>
    <w:uiPriority w:val="99"/>
    <w:unhideWhenUsed/>
    <w:rsid w:val="004C27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787"/>
    <w:rPr>
      <w:rFonts w:ascii="Helvetica" w:hAnsi="Helvetica"/>
    </w:rPr>
  </w:style>
  <w:style w:type="paragraph" w:styleId="NoSpacing">
    <w:name w:val="No Spacing"/>
    <w:uiPriority w:val="1"/>
    <w:qFormat/>
    <w:rsid w:val="00D67077"/>
    <w:pPr>
      <w:spacing w:after="0" w:line="240" w:lineRule="auto"/>
    </w:pPr>
    <w:rPr>
      <w:rFonts w:ascii="Helvetica" w:hAnsi="Helvetica"/>
    </w:rPr>
  </w:style>
  <w:style w:type="character" w:styleId="Hyperlink">
    <w:name w:val="Hyperlink"/>
    <w:basedOn w:val="DefaultParagraphFont"/>
    <w:uiPriority w:val="99"/>
    <w:unhideWhenUsed/>
    <w:rsid w:val="00D5358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Edward Jones</Company>
  <LinksUpToDate>false</LinksUpToDate>
  <CharactersWithSpaces>1990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Simons,Jolie</dc:creator>
  <cp:lastModifiedBy>Jolie</cp:lastModifiedBy>
  <cp:revision>3</cp:revision>
  <cp:lastPrinted>2014-06-18T16:17:00Z</cp:lastPrinted>
  <dcterms:created xsi:type="dcterms:W3CDTF">2015-05-22T19:59:00Z</dcterms:created>
  <dcterms:modified xsi:type="dcterms:W3CDTF">2015-07-02T12:57:00Z</dcterms:modified>
</cp:coreProperties>
</file>